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37"/>
        <w:gridCol w:w="4023"/>
        <w:gridCol w:w="720"/>
        <w:gridCol w:w="720"/>
        <w:gridCol w:w="3851"/>
      </w:tblGrid>
      <w:tr w:rsidR="008A3975" w14:paraId="367184D5" w14:textId="77777777" w:rsidTr="00A57633">
        <w:trPr>
          <w:trHeight w:hRule="exact" w:val="10800"/>
          <w:jc w:val="center"/>
        </w:trPr>
        <w:tc>
          <w:tcPr>
            <w:tcW w:w="3840" w:type="dxa"/>
          </w:tcPr>
          <w:sdt>
            <w:sdtPr>
              <w:alias w:val="Click icon at right to replace picture"/>
              <w:tag w:val="Click icon at right to replace picture"/>
              <w:id w:val="321324275"/>
              <w:picture/>
            </w:sdtPr>
            <w:sdtEndPr/>
            <w:sdtContent>
              <w:p w14:paraId="3DB50C23" w14:textId="77777777" w:rsidR="008A3975" w:rsidRDefault="004045BD">
                <w:r>
                  <w:rPr>
                    <w:noProof/>
                    <w:lang w:eastAsia="en-US"/>
                  </w:rPr>
                  <w:drawing>
                    <wp:inline distT="0" distB="0" distL="0" distR="0" wp14:anchorId="324EFC98" wp14:editId="1B3D299D">
                      <wp:extent cx="2437130" cy="2529618"/>
                      <wp:effectExtent l="0" t="0" r="1270" b="4445"/>
                      <wp:docPr id="9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40986" cy="25336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59F6CD6" w14:textId="77777777" w:rsidR="008A3975" w:rsidRDefault="00D65B51">
            <w:pPr>
              <w:pStyle w:val="Caption"/>
            </w:pPr>
            <w:r>
              <w:t>IPTF Agency Logo 2014</w:t>
            </w:r>
          </w:p>
          <w:p w14:paraId="301F2A94" w14:textId="77777777" w:rsidR="00D65B51" w:rsidRDefault="00D65B51" w:rsidP="00D65B51">
            <w:r>
              <w:t>CASE MANAGEMENT SERVICES:</w:t>
            </w:r>
          </w:p>
          <w:p w14:paraId="36B14BA1" w14:textId="77777777" w:rsidR="00D65B51" w:rsidRDefault="00D65B51" w:rsidP="00D65B51">
            <w:pPr>
              <w:pStyle w:val="ListParagraph"/>
              <w:numPr>
                <w:ilvl w:val="0"/>
                <w:numId w:val="6"/>
              </w:numPr>
            </w:pPr>
            <w:r>
              <w:t>Getting individuals linked to care</w:t>
            </w:r>
          </w:p>
          <w:p w14:paraId="4AAF2D7D" w14:textId="77777777" w:rsidR="00D65B51" w:rsidRDefault="00D65B51" w:rsidP="00D65B51">
            <w:pPr>
              <w:pStyle w:val="ListParagraph"/>
              <w:numPr>
                <w:ilvl w:val="0"/>
                <w:numId w:val="6"/>
              </w:numPr>
            </w:pPr>
            <w:r>
              <w:t>Provide transportation to and from Medical appointments and Food Shelves</w:t>
            </w:r>
          </w:p>
          <w:p w14:paraId="3D70F19F" w14:textId="77777777" w:rsidR="00D65B51" w:rsidRDefault="00D65B51" w:rsidP="00D65B51">
            <w:pPr>
              <w:pStyle w:val="ListParagraph"/>
              <w:numPr>
                <w:ilvl w:val="0"/>
                <w:numId w:val="6"/>
              </w:numPr>
            </w:pPr>
            <w:r>
              <w:t>10 Ride bus passes to assist with medical transportation</w:t>
            </w:r>
          </w:p>
          <w:p w14:paraId="30F2391A" w14:textId="77777777" w:rsidR="00A57633" w:rsidRDefault="00A57633" w:rsidP="00D65B51">
            <w:pPr>
              <w:pStyle w:val="ListParagraph"/>
              <w:numPr>
                <w:ilvl w:val="0"/>
                <w:numId w:val="6"/>
              </w:numPr>
            </w:pPr>
            <w:r>
              <w:t>Access to Health Insurance</w:t>
            </w:r>
          </w:p>
          <w:p w14:paraId="57857A34" w14:textId="77777777" w:rsidR="00D65B51" w:rsidRDefault="00D65B51" w:rsidP="00D65B51">
            <w:pPr>
              <w:pStyle w:val="ListParagraph"/>
              <w:numPr>
                <w:ilvl w:val="0"/>
                <w:numId w:val="6"/>
              </w:numPr>
            </w:pPr>
            <w:r>
              <w:t>Referrals to Every Penny Counts and Aliveness and other agencies</w:t>
            </w:r>
          </w:p>
          <w:p w14:paraId="36ADFBFA" w14:textId="77777777" w:rsidR="00D65B51" w:rsidRDefault="00D65B51" w:rsidP="00D65B51">
            <w:pPr>
              <w:pStyle w:val="ListParagraph"/>
              <w:numPr>
                <w:ilvl w:val="0"/>
                <w:numId w:val="6"/>
              </w:numPr>
            </w:pPr>
            <w:r>
              <w:t>Cultural/emotional support and health education/risk prevention services</w:t>
            </w:r>
          </w:p>
          <w:p w14:paraId="4BA86C8D" w14:textId="77777777" w:rsidR="00D65B51" w:rsidRDefault="00D65B51" w:rsidP="00D65B51">
            <w:pPr>
              <w:pStyle w:val="ListParagraph"/>
              <w:numPr>
                <w:ilvl w:val="0"/>
                <w:numId w:val="6"/>
              </w:numPr>
            </w:pPr>
            <w:r>
              <w:t>Housing Referrals</w:t>
            </w:r>
          </w:p>
          <w:p w14:paraId="1759490C" w14:textId="77777777" w:rsidR="00A57633" w:rsidRDefault="00A57633" w:rsidP="00D65B51">
            <w:pPr>
              <w:pStyle w:val="ListParagraph"/>
              <w:numPr>
                <w:ilvl w:val="0"/>
                <w:numId w:val="6"/>
              </w:numPr>
            </w:pPr>
            <w:r>
              <w:t>Assisting in filling out paperwork</w:t>
            </w:r>
          </w:p>
          <w:p w14:paraId="57541372" w14:textId="77777777" w:rsidR="00A57633" w:rsidRDefault="00A57633" w:rsidP="00A57633">
            <w:pPr>
              <w:pStyle w:val="ListParagraph"/>
              <w:numPr>
                <w:ilvl w:val="0"/>
                <w:numId w:val="6"/>
              </w:numPr>
            </w:pPr>
            <w:r>
              <w:t>Access to traditional/spiritual counseling</w:t>
            </w:r>
          </w:p>
          <w:p w14:paraId="4F7ADE32" w14:textId="77777777" w:rsidR="00A57633" w:rsidRDefault="00A57633" w:rsidP="00A57633">
            <w:pPr>
              <w:pStyle w:val="ListParagraph"/>
              <w:numPr>
                <w:ilvl w:val="0"/>
                <w:numId w:val="6"/>
              </w:numPr>
            </w:pPr>
            <w:r>
              <w:t>Locating a suitable doctor who is knowledgeable about HIV/AIDS</w:t>
            </w:r>
          </w:p>
          <w:p w14:paraId="37AAFF94" w14:textId="77777777" w:rsidR="00A57633" w:rsidRDefault="00A57633" w:rsidP="00A57633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r w:rsidR="004439A0">
              <w:t>Care Plans/ Advocacy</w:t>
            </w:r>
          </w:p>
          <w:p w14:paraId="361B9B52" w14:textId="77777777" w:rsidR="004439A0" w:rsidRPr="00D65B51" w:rsidRDefault="004439A0" w:rsidP="004439A0">
            <w:pPr>
              <w:pStyle w:val="ListParagraph"/>
            </w:pPr>
          </w:p>
        </w:tc>
        <w:tc>
          <w:tcPr>
            <w:tcW w:w="713" w:type="dxa"/>
          </w:tcPr>
          <w:p w14:paraId="5C22685D" w14:textId="77777777" w:rsidR="008A3975" w:rsidRDefault="008A3975"/>
        </w:tc>
        <w:tc>
          <w:tcPr>
            <w:tcW w:w="37" w:type="dxa"/>
          </w:tcPr>
          <w:p w14:paraId="2F0A8DE1" w14:textId="77777777" w:rsidR="008A3975" w:rsidRPr="00634229" w:rsidRDefault="008A3975">
            <w:pPr>
              <w:rPr>
                <w:color w:val="auto"/>
              </w:rPr>
            </w:pPr>
          </w:p>
        </w:tc>
        <w:tc>
          <w:tcPr>
            <w:tcW w:w="402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23"/>
            </w:tblGrid>
            <w:tr w:rsidR="00634229" w:rsidRPr="00634229" w14:paraId="3FAEC4E1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42F1BF43" w14:textId="77777777" w:rsidR="00634229" w:rsidRPr="00A57633" w:rsidRDefault="00D65B51" w:rsidP="00634229">
                  <w:pPr>
                    <w:pStyle w:val="Heading1"/>
                    <w:rPr>
                      <w:color w:val="591A1B" w:themeColor="accent2" w:themeShade="80"/>
                      <w:sz w:val="24"/>
                      <w:szCs w:val="24"/>
                    </w:rPr>
                  </w:pPr>
                  <w:r w:rsidRPr="00A57633">
                    <w:rPr>
                      <w:color w:val="591A1B" w:themeColor="accent2" w:themeShade="80"/>
                      <w:sz w:val="24"/>
                      <w:szCs w:val="24"/>
                    </w:rPr>
                    <w:t>ABOUT US:</w:t>
                  </w:r>
                </w:p>
                <w:p w14:paraId="4F4354F7" w14:textId="77777777" w:rsidR="008A3975" w:rsidRPr="00A57633" w:rsidRDefault="00D65B51" w:rsidP="00634229">
                  <w:pPr>
                    <w:pStyle w:val="Heading1"/>
                    <w:rPr>
                      <w:color w:val="591A1B" w:themeColor="accent2" w:themeShade="80"/>
                      <w:sz w:val="24"/>
                      <w:szCs w:val="24"/>
                    </w:rPr>
                  </w:pPr>
                  <w:r w:rsidRPr="00A57633">
                    <w:rPr>
                      <w:rFonts w:ascii="Andalus" w:hAnsi="Andalus" w:cs="Andalus"/>
                      <w:b w:val="0"/>
                      <w:i/>
                      <w:color w:val="591A1B" w:themeColor="accent2" w:themeShade="80"/>
                      <w:sz w:val="24"/>
                      <w:szCs w:val="24"/>
                    </w:rPr>
                    <w:t xml:space="preserve">Indigenous </w:t>
                  </w:r>
                  <w:r w:rsidR="00A65626">
                    <w:rPr>
                      <w:rFonts w:ascii="Andalus" w:hAnsi="Andalus" w:cs="Andalus"/>
                      <w:b w:val="0"/>
                      <w:i/>
                      <w:color w:val="591A1B" w:themeColor="accent2" w:themeShade="80"/>
                      <w:sz w:val="24"/>
                      <w:szCs w:val="24"/>
                    </w:rPr>
                    <w:t>Peoples Task Force (IPTF) is a Native American</w:t>
                  </w:r>
                  <w:r w:rsidRPr="00A57633">
                    <w:rPr>
                      <w:rFonts w:ascii="Andalus" w:hAnsi="Andalus" w:cs="Andalus"/>
                      <w:b w:val="0"/>
                      <w:i/>
                      <w:color w:val="591A1B" w:themeColor="accent2" w:themeShade="80"/>
                      <w:sz w:val="24"/>
                      <w:szCs w:val="24"/>
                    </w:rPr>
                    <w:t xml:space="preserve"> agency that provides culturally appropriate emotional support</w:t>
                  </w:r>
                  <w:r w:rsidR="00634229" w:rsidRPr="00A57633">
                    <w:rPr>
                      <w:rFonts w:ascii="Andalus" w:hAnsi="Andalus" w:cs="Andalus"/>
                      <w:b w:val="0"/>
                      <w:i/>
                      <w:color w:val="591A1B" w:themeColor="accent2" w:themeShade="80"/>
                      <w:sz w:val="24"/>
                      <w:szCs w:val="24"/>
                    </w:rPr>
                    <w:t xml:space="preserve"> and health education/risk reduction services for Native and All American persons living with HIV/AIDS in the Minneapolis/St. Paul area as well as HIV+ people living outside of Minnesota; including all Reservations. </w:t>
                  </w:r>
                </w:p>
                <w:p w14:paraId="651F6996" w14:textId="77777777" w:rsidR="00634229" w:rsidRPr="00A57633" w:rsidRDefault="00634229" w:rsidP="00634229">
                  <w:pPr>
                    <w:spacing w:after="0" w:line="240" w:lineRule="auto"/>
                    <w:rPr>
                      <w:rFonts w:ascii="Andalus" w:hAnsi="Andalus" w:cs="Andalus"/>
                      <w:i/>
                      <w:color w:val="591A1B" w:themeColor="accent2" w:themeShade="80"/>
                      <w:sz w:val="24"/>
                      <w:szCs w:val="24"/>
                    </w:rPr>
                  </w:pPr>
                  <w:r w:rsidRPr="00A57633">
                    <w:rPr>
                      <w:rFonts w:ascii="Andalus" w:hAnsi="Andalus" w:cs="Andalus"/>
                      <w:i/>
                      <w:color w:val="591A1B" w:themeColor="accent2" w:themeShade="80"/>
                      <w:sz w:val="24"/>
                      <w:szCs w:val="24"/>
                    </w:rPr>
                    <w:t>The IPTF services emphasize traditional aspects of health and well-being as western medical models of HIV treatment and care.</w:t>
                  </w:r>
                </w:p>
                <w:p w14:paraId="012281E1" w14:textId="77777777" w:rsidR="008A3975" w:rsidRPr="00634229" w:rsidRDefault="008A3975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  <w:p w14:paraId="23DD34CF" w14:textId="77777777" w:rsidR="008A3975" w:rsidRPr="00634229" w:rsidRDefault="004045BD">
                  <w:pPr>
                    <w:pStyle w:val="Heading2"/>
                    <w:rPr>
                      <w:color w:val="auto"/>
                      <w:szCs w:val="24"/>
                    </w:rPr>
                  </w:pPr>
                  <w:r w:rsidRPr="00634229">
                    <w:rPr>
                      <w:color w:val="auto"/>
                      <w:szCs w:val="24"/>
                    </w:rPr>
                    <w:t>Contact Us</w:t>
                  </w:r>
                </w:p>
                <w:p w14:paraId="783FB925" w14:textId="77777777" w:rsidR="008A3975" w:rsidRPr="00634229" w:rsidRDefault="004045BD" w:rsidP="00A57633">
                  <w:pPr>
                    <w:spacing w:line="240" w:lineRule="auto"/>
                    <w:rPr>
                      <w:color w:val="auto"/>
                      <w:sz w:val="24"/>
                      <w:szCs w:val="24"/>
                    </w:rPr>
                  </w:pPr>
                  <w:r w:rsidRPr="00634229">
                    <w:rPr>
                      <w:color w:val="auto"/>
                      <w:sz w:val="24"/>
                      <w:szCs w:val="24"/>
                    </w:rPr>
                    <w:t xml:space="preserve">Phone: </w:t>
                  </w:r>
                  <w:r w:rsidR="00D65B51" w:rsidRPr="00634229">
                    <w:rPr>
                      <w:color w:val="auto"/>
                      <w:sz w:val="24"/>
                      <w:szCs w:val="24"/>
                    </w:rPr>
                    <w:t>612-889-4636</w:t>
                  </w:r>
                  <w:r w:rsidRPr="00634229">
                    <w:rPr>
                      <w:color w:val="auto"/>
                      <w:sz w:val="24"/>
                      <w:szCs w:val="24"/>
                    </w:rPr>
                    <w:br/>
                    <w:t xml:space="preserve">Email: </w:t>
                  </w:r>
                  <w:r w:rsidR="00D65B51" w:rsidRPr="00634229">
                    <w:rPr>
                      <w:color w:val="auto"/>
                      <w:sz w:val="24"/>
                      <w:szCs w:val="24"/>
                    </w:rPr>
                    <w:t>candiceb@indigenouspeoplestf.org</w:t>
                  </w:r>
                  <w:r w:rsidRPr="00634229">
                    <w:rPr>
                      <w:color w:val="auto"/>
                      <w:sz w:val="24"/>
                      <w:szCs w:val="24"/>
                    </w:rPr>
                    <w:br/>
                    <w:t xml:space="preserve">Web: </w:t>
                  </w:r>
                  <w:r w:rsidR="00D65B51" w:rsidRPr="00634229">
                    <w:rPr>
                      <w:color w:val="auto"/>
                      <w:sz w:val="24"/>
                      <w:szCs w:val="24"/>
                    </w:rPr>
                    <w:t>www.indigenouspeoplestf.org</w:t>
                  </w:r>
                </w:p>
              </w:tc>
            </w:tr>
            <w:tr w:rsidR="00634229" w:rsidRPr="00634229" w14:paraId="4EB8F02C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8"/>
                    <w:gridCol w:w="282"/>
                    <w:gridCol w:w="2463"/>
                  </w:tblGrid>
                  <w:tr w:rsidR="00634229" w:rsidRPr="00634229" w14:paraId="7AA5A9A7" w14:textId="77777777">
                    <w:sdt>
                      <w:sdtPr>
                        <w:rPr>
                          <w:color w:val="auto"/>
                          <w:sz w:val="24"/>
                          <w:szCs w:val="24"/>
                        </w:rPr>
                        <w:alias w:val="Logo"/>
                        <w:tag w:val="Logo"/>
                        <w:id w:val="-180896203"/>
                        <w:picture/>
                      </w:sdtPr>
                      <w:sdtEndPr/>
                      <w:sdtContent>
                        <w:tc>
                          <w:tcPr>
                            <w:tcW w:w="1582" w:type="pct"/>
                            <w:vAlign w:val="center"/>
                          </w:tcPr>
                          <w:p w14:paraId="2EC3B458" w14:textId="77777777" w:rsidR="008A3975" w:rsidRPr="00634229" w:rsidRDefault="004045BD">
                            <w:pPr>
                              <w:pStyle w:val="NoSpacing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4229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14723013" wp14:editId="7BAAF9AD">
                                  <wp:extent cx="552148" cy="393793"/>
                                  <wp:effectExtent l="0" t="0" r="635" b="6350"/>
                                  <wp:docPr id="13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479" cy="421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sdtContent>
                    </w:sdt>
                    <w:tc>
                      <w:tcPr>
                        <w:tcW w:w="350" w:type="pct"/>
                      </w:tcPr>
                      <w:p w14:paraId="24EA6E2F" w14:textId="77777777" w:rsidR="008A3975" w:rsidRPr="00634229" w:rsidRDefault="008A3975">
                        <w:pPr>
                          <w:rPr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50" w:type="pct"/>
                      </w:tcPr>
                      <w:sdt>
                        <w:sdtPr>
                          <w:rPr>
                            <w:color w:val="auto"/>
                            <w:sz w:val="24"/>
                            <w:szCs w:val="24"/>
                          </w:rPr>
                          <w:alias w:val="Company"/>
                          <w:tag w:val=""/>
                          <w:id w:val="1621798997"/>
                          <w:placeholder>
                            <w:docPart w:val="913726A0B4154B96AEF442B653687B2E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14:paraId="5091CF39" w14:textId="77777777" w:rsidR="008A3975" w:rsidRPr="00634229" w:rsidRDefault="002858B0">
                            <w:pPr>
                              <w:pStyle w:val="Company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4229">
                              <w:rPr>
                                <w:color w:val="auto"/>
                                <w:sz w:val="24"/>
                                <w:szCs w:val="24"/>
                              </w:rPr>
                              <w:t>Indigenous Peoples task Force</w:t>
                            </w:r>
                          </w:p>
                        </w:sdtContent>
                      </w:sdt>
                      <w:p w14:paraId="04C7A8DC" w14:textId="77777777" w:rsidR="008A3975" w:rsidRPr="00634229" w:rsidRDefault="002858B0" w:rsidP="002858B0">
                        <w:pPr>
                          <w:pStyle w:val="Footer"/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 w:rsidRPr="00634229">
                          <w:rPr>
                            <w:color w:val="auto"/>
                            <w:sz w:val="24"/>
                            <w:szCs w:val="24"/>
                          </w:rPr>
                          <w:t>1335 E. 23</w:t>
                        </w:r>
                        <w:r w:rsidRPr="00634229">
                          <w:rPr>
                            <w:color w:val="auto"/>
                            <w:sz w:val="24"/>
                            <w:szCs w:val="24"/>
                            <w:vertAlign w:val="superscript"/>
                          </w:rPr>
                          <w:t>rd</w:t>
                        </w:r>
                        <w:r w:rsidRPr="00634229">
                          <w:rPr>
                            <w:color w:val="auto"/>
                            <w:sz w:val="24"/>
                            <w:szCs w:val="24"/>
                          </w:rPr>
                          <w:t xml:space="preserve"> St. Minneapolis, MN 55404 </w:t>
                        </w:r>
                      </w:p>
                    </w:tc>
                  </w:tr>
                </w:tbl>
                <w:p w14:paraId="406A728A" w14:textId="77777777" w:rsidR="008A3975" w:rsidRPr="00634229" w:rsidRDefault="008A3975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7E2B23C" w14:textId="77777777" w:rsidR="008A3975" w:rsidRPr="00634229" w:rsidRDefault="008A3975">
            <w:pPr>
              <w:rPr>
                <w:color w:val="auto"/>
              </w:rPr>
            </w:pPr>
          </w:p>
        </w:tc>
        <w:tc>
          <w:tcPr>
            <w:tcW w:w="720" w:type="dxa"/>
          </w:tcPr>
          <w:p w14:paraId="3EDC7101" w14:textId="77777777" w:rsidR="008A3975" w:rsidRDefault="008A3975"/>
        </w:tc>
        <w:tc>
          <w:tcPr>
            <w:tcW w:w="720" w:type="dxa"/>
          </w:tcPr>
          <w:p w14:paraId="29E7F899" w14:textId="77777777" w:rsidR="008A3975" w:rsidRDefault="008A3975"/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8A3975" w14:paraId="76EE8EC4" w14:textId="77777777">
              <w:trPr>
                <w:trHeight w:hRule="exact" w:val="5760"/>
              </w:trPr>
              <w:sdt>
                <w:sdtPr>
                  <w:id w:val="-1297910721"/>
                  <w:picture/>
                </w:sdtPr>
                <w:sdtEndPr/>
                <w:sdtContent>
                  <w:tc>
                    <w:tcPr>
                      <w:tcW w:w="5000" w:type="pct"/>
                    </w:tcPr>
                    <w:p w14:paraId="4338D921" w14:textId="77777777" w:rsidR="008A3975" w:rsidRDefault="004045BD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9396B90" wp14:editId="5AE06E1E">
                            <wp:extent cx="2444115" cy="2562990"/>
                            <wp:effectExtent l="0" t="0" r="0" b="8890"/>
                            <wp:docPr id="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064" cy="2566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8A3975" w14:paraId="35CFA7C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8E7F5DB" w14:textId="77777777" w:rsidR="008A3975" w:rsidRDefault="008A3975"/>
              </w:tc>
            </w:tr>
            <w:tr w:rsidR="008A3975" w14:paraId="513691BD" w14:textId="77777777">
              <w:trPr>
                <w:trHeight w:hRule="exact" w:val="3240"/>
              </w:trPr>
              <w:sdt>
                <w:sdtPr>
                  <w:alias w:val="Company"/>
                  <w:tag w:val=""/>
                  <w:id w:val="1477263083"/>
                  <w:placeholder>
                    <w:docPart w:val="913726A0B4154B96AEF442B653687B2E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3A996" w:themeFill="accent1"/>
                    </w:tcPr>
                    <w:p w14:paraId="7A635EBE" w14:textId="77777777" w:rsidR="008A3975" w:rsidRDefault="002858B0">
                      <w:pPr>
                        <w:pStyle w:val="Title"/>
                      </w:pPr>
                      <w:r>
                        <w:t>Indigenous Peoples task Force</w:t>
                      </w:r>
                    </w:p>
                  </w:tc>
                </w:sdtContent>
              </w:sdt>
            </w:tr>
            <w:tr w:rsidR="008A3975" w14:paraId="520BCEF7" w14:textId="77777777">
              <w:trPr>
                <w:trHeight w:hRule="exact" w:val="1440"/>
              </w:trPr>
              <w:tc>
                <w:tcPr>
                  <w:tcW w:w="5000" w:type="pct"/>
                  <w:shd w:val="clear" w:color="auto" w:fill="03A996" w:themeFill="accent1"/>
                  <w:vAlign w:val="bottom"/>
                </w:tcPr>
                <w:p w14:paraId="3581DD19" w14:textId="77777777" w:rsidR="008A3975" w:rsidRDefault="002858B0" w:rsidP="002858B0">
                  <w:pPr>
                    <w:pStyle w:val="Subtitle"/>
                  </w:pPr>
                  <w:r>
                    <w:t>Strengthening and Enhancing the Health and Education of Native People</w:t>
                  </w:r>
                  <w:r w:rsidR="00D65B51">
                    <w:t>.</w:t>
                  </w:r>
                </w:p>
              </w:tc>
            </w:tr>
          </w:tbl>
          <w:p w14:paraId="2A0FAD21" w14:textId="77777777" w:rsidR="008A3975" w:rsidRDefault="008A3975"/>
        </w:tc>
      </w:tr>
    </w:tbl>
    <w:p w14:paraId="3C01C1E9" w14:textId="77777777" w:rsidR="008A3975" w:rsidRDefault="008A3975">
      <w:pPr>
        <w:pStyle w:val="NoSpacing"/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4020"/>
        <w:gridCol w:w="713"/>
        <w:gridCol w:w="397"/>
        <w:gridCol w:w="4159"/>
        <w:gridCol w:w="720"/>
        <w:gridCol w:w="360"/>
        <w:gridCol w:w="3851"/>
      </w:tblGrid>
      <w:tr w:rsidR="008A3975" w14:paraId="6A3FC13B" w14:textId="77777777" w:rsidTr="00A10B66">
        <w:trPr>
          <w:trHeight w:hRule="exact" w:val="10800"/>
          <w:jc w:val="center"/>
        </w:trPr>
        <w:tc>
          <w:tcPr>
            <w:tcW w:w="4020" w:type="dxa"/>
          </w:tcPr>
          <w:sdt>
            <w:sdtPr>
              <w:rPr>
                <w:color w:val="591A1B" w:themeColor="accent2" w:themeShade="80"/>
              </w:rPr>
              <w:id w:val="-1941750188"/>
              <w:picture/>
            </w:sdtPr>
            <w:sdtEndPr/>
            <w:sdtContent>
              <w:p w14:paraId="2A78DC04" w14:textId="77777777" w:rsidR="008A3975" w:rsidRPr="004045BD" w:rsidRDefault="004045BD" w:rsidP="008138AE">
                <w:pPr>
                  <w:spacing w:after="0"/>
                  <w:rPr>
                    <w:color w:val="591A1B" w:themeColor="accent2" w:themeShade="80"/>
                  </w:rPr>
                </w:pPr>
                <w:r w:rsidRPr="004045BD">
                  <w:rPr>
                    <w:noProof/>
                    <w:color w:val="591A1B" w:themeColor="accent2" w:themeShade="80"/>
                    <w:lang w:eastAsia="en-US"/>
                  </w:rPr>
                  <w:drawing>
                    <wp:inline distT="0" distB="0" distL="0" distR="0" wp14:anchorId="6EED69EF" wp14:editId="2505EB64">
                      <wp:extent cx="2432304" cy="2155021"/>
                      <wp:effectExtent l="0" t="0" r="6350" b="0"/>
                      <wp:docPr id="11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2304" cy="21550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99D4D28" w14:textId="77777777" w:rsidR="008A3975" w:rsidRPr="004045BD" w:rsidRDefault="008138AE" w:rsidP="008138AE">
            <w:pPr>
              <w:pStyle w:val="Heading1"/>
              <w:spacing w:before="0"/>
              <w:rPr>
                <w:rStyle w:val="Heading1Char"/>
                <w:rFonts w:ascii="Andalus" w:hAnsi="Andalus" w:cs="Andalus"/>
                <w:color w:val="591A1B" w:themeColor="accent2" w:themeShade="80"/>
                <w:sz w:val="28"/>
                <w:szCs w:val="28"/>
              </w:rPr>
            </w:pPr>
            <w:r w:rsidRPr="004045BD">
              <w:rPr>
                <w:rStyle w:val="Heading1Char"/>
                <w:color w:val="591A1B" w:themeColor="accent2" w:themeShade="80"/>
                <w:sz w:val="28"/>
                <w:szCs w:val="28"/>
              </w:rPr>
              <w:t xml:space="preserve">      </w:t>
            </w:r>
            <w:r w:rsidRPr="004045BD">
              <w:rPr>
                <w:rStyle w:val="Heading1Char"/>
                <w:rFonts w:ascii="Andalus" w:hAnsi="Andalus" w:cs="Andalus"/>
                <w:color w:val="591A1B" w:themeColor="accent2" w:themeShade="80"/>
                <w:sz w:val="28"/>
                <w:szCs w:val="28"/>
              </w:rPr>
              <w:t xml:space="preserve"> </w:t>
            </w:r>
            <w:r w:rsidR="00A83FF1" w:rsidRPr="004045BD">
              <w:rPr>
                <w:rStyle w:val="Heading1Char"/>
                <w:rFonts w:ascii="Andalus" w:hAnsi="Andalus" w:cs="Andalus"/>
                <w:color w:val="591A1B" w:themeColor="accent2" w:themeShade="80"/>
                <w:sz w:val="28"/>
                <w:szCs w:val="28"/>
              </w:rPr>
              <w:t xml:space="preserve">         </w:t>
            </w:r>
            <w:proofErr w:type="spellStart"/>
            <w:r w:rsidRPr="004045BD">
              <w:rPr>
                <w:rStyle w:val="Heading1Char"/>
                <w:rFonts w:ascii="Andalus" w:hAnsi="Andalus" w:cs="Andalus"/>
                <w:color w:val="591A1B" w:themeColor="accent2" w:themeShade="80"/>
                <w:sz w:val="28"/>
                <w:szCs w:val="28"/>
              </w:rPr>
              <w:t>Ganawenima</w:t>
            </w:r>
            <w:proofErr w:type="spellEnd"/>
          </w:p>
          <w:p w14:paraId="22A5F138" w14:textId="77777777" w:rsidR="008138AE" w:rsidRPr="004045BD" w:rsidRDefault="008138AE" w:rsidP="008138AE">
            <w:pPr>
              <w:spacing w:after="0"/>
              <w:rPr>
                <w:rFonts w:ascii="Andalus" w:hAnsi="Andalus" w:cs="Andalus"/>
                <w:color w:val="591A1B" w:themeColor="accent2" w:themeShade="80"/>
                <w:sz w:val="28"/>
                <w:szCs w:val="28"/>
              </w:rPr>
            </w:pPr>
            <w:r w:rsidRPr="004045BD">
              <w:rPr>
                <w:rFonts w:ascii="Andalus" w:hAnsi="Andalus" w:cs="Andalus"/>
                <w:color w:val="591A1B" w:themeColor="accent2" w:themeShade="80"/>
                <w:sz w:val="28"/>
                <w:szCs w:val="28"/>
              </w:rPr>
              <w:t xml:space="preserve">            (To Take Care Of)</w:t>
            </w:r>
          </w:p>
          <w:p w14:paraId="5323A438" w14:textId="77777777" w:rsidR="008138AE" w:rsidRPr="004045BD" w:rsidRDefault="008138AE" w:rsidP="008138AE">
            <w:pPr>
              <w:spacing w:after="0" w:line="240" w:lineRule="auto"/>
              <w:rPr>
                <w:rFonts w:ascii="Andalus" w:hAnsi="Andalus" w:cs="Andalus"/>
                <w:color w:val="591A1B" w:themeColor="accent2" w:themeShade="80"/>
                <w:sz w:val="22"/>
                <w:szCs w:val="22"/>
              </w:rPr>
            </w:pPr>
            <w:r w:rsidRPr="004045BD">
              <w:rPr>
                <w:rFonts w:ascii="Andalus" w:hAnsi="Andalus" w:cs="Andalus"/>
                <w:color w:val="591A1B" w:themeColor="accent2" w:themeShade="80"/>
                <w:sz w:val="22"/>
                <w:szCs w:val="22"/>
              </w:rPr>
              <w:t xml:space="preserve">Whether newly diagnosed or multi-year HIV survivor, living with HIV/AIDS can be confusing and involve a wide variety of issues. </w:t>
            </w:r>
          </w:p>
          <w:p w14:paraId="195FDF00" w14:textId="77777777" w:rsidR="008138AE" w:rsidRPr="004045BD" w:rsidRDefault="008138AE" w:rsidP="008138AE">
            <w:pPr>
              <w:spacing w:after="0" w:line="240" w:lineRule="auto"/>
              <w:rPr>
                <w:rFonts w:ascii="Andalus" w:hAnsi="Andalus" w:cs="Andalus"/>
                <w:color w:val="591A1B" w:themeColor="accent2" w:themeShade="80"/>
                <w:sz w:val="22"/>
                <w:szCs w:val="22"/>
              </w:rPr>
            </w:pPr>
            <w:r w:rsidRPr="004045BD">
              <w:rPr>
                <w:rFonts w:ascii="Andalus" w:hAnsi="Andalus" w:cs="Andalus"/>
                <w:color w:val="591A1B" w:themeColor="accent2" w:themeShade="80"/>
                <w:sz w:val="22"/>
                <w:szCs w:val="22"/>
              </w:rPr>
              <w:t xml:space="preserve">Together HIV+ clients, Case Manager plan and coordinated with the appropriate services and resources that might be needed to achieve a healthier life. </w:t>
            </w:r>
          </w:p>
          <w:p w14:paraId="0DFAB0A2" w14:textId="77777777" w:rsidR="008138AE" w:rsidRPr="004045BD" w:rsidRDefault="008138AE" w:rsidP="008138AE">
            <w:pPr>
              <w:spacing w:after="0" w:line="240" w:lineRule="auto"/>
              <w:rPr>
                <w:rFonts w:ascii="Andalus" w:hAnsi="Andalus" w:cs="Andalus"/>
                <w:color w:val="591A1B" w:themeColor="accent2" w:themeShade="80"/>
                <w:sz w:val="22"/>
                <w:szCs w:val="22"/>
              </w:rPr>
            </w:pPr>
            <w:r w:rsidRPr="004045BD">
              <w:rPr>
                <w:rFonts w:ascii="Andalus" w:hAnsi="Andalus" w:cs="Andalus"/>
                <w:color w:val="591A1B" w:themeColor="accent2" w:themeShade="80"/>
                <w:sz w:val="22"/>
                <w:szCs w:val="22"/>
              </w:rPr>
              <w:t xml:space="preserve">Culturally sensitive and confidential support is offered individually and or as a group through different activities, such as client retreats, crafts and educational sessions. </w:t>
            </w:r>
          </w:p>
          <w:p w14:paraId="65570214" w14:textId="77777777" w:rsidR="008138AE" w:rsidRPr="004045BD" w:rsidRDefault="008138AE" w:rsidP="008138AE">
            <w:pPr>
              <w:spacing w:after="0" w:line="240" w:lineRule="auto"/>
              <w:rPr>
                <w:rFonts w:ascii="Andalus" w:hAnsi="Andalus" w:cs="Andalus"/>
                <w:color w:val="591A1B" w:themeColor="accent2" w:themeShade="80"/>
                <w:sz w:val="22"/>
                <w:szCs w:val="22"/>
              </w:rPr>
            </w:pPr>
            <w:r w:rsidRPr="004045BD">
              <w:rPr>
                <w:rFonts w:ascii="Andalus" w:hAnsi="Andalus" w:cs="Andalus"/>
                <w:color w:val="591A1B" w:themeColor="accent2" w:themeShade="80"/>
                <w:sz w:val="22"/>
                <w:szCs w:val="22"/>
              </w:rPr>
              <w:t>IPTF Case Management services increase and sustain emotional well-being, provide psychological and emotional support. These opportunities include talking circles, Ceremonies and traditional feasts which help to reduce social isolation, stigma and promote general well-being.</w:t>
            </w:r>
          </w:p>
          <w:p w14:paraId="55F7A131" w14:textId="77777777" w:rsidR="008138AE" w:rsidRPr="004045BD" w:rsidRDefault="008138AE" w:rsidP="008138AE">
            <w:pPr>
              <w:spacing w:after="0" w:line="240" w:lineRule="auto"/>
              <w:rPr>
                <w:rFonts w:ascii="Andalus" w:hAnsi="Andalus" w:cs="Andalus"/>
                <w:color w:val="591A1B" w:themeColor="accent2" w:themeShade="80"/>
                <w:sz w:val="24"/>
                <w:szCs w:val="24"/>
              </w:rPr>
            </w:pPr>
          </w:p>
        </w:tc>
        <w:tc>
          <w:tcPr>
            <w:tcW w:w="713" w:type="dxa"/>
          </w:tcPr>
          <w:p w14:paraId="17EFAC2C" w14:textId="77777777" w:rsidR="008A3975" w:rsidRPr="004045BD" w:rsidRDefault="008A3975" w:rsidP="008138AE">
            <w:pPr>
              <w:spacing w:after="0"/>
              <w:rPr>
                <w:color w:val="591A1B" w:themeColor="accent2" w:themeShade="80"/>
              </w:rPr>
            </w:pPr>
          </w:p>
        </w:tc>
        <w:tc>
          <w:tcPr>
            <w:tcW w:w="397" w:type="dxa"/>
          </w:tcPr>
          <w:p w14:paraId="60ACBF84" w14:textId="77777777" w:rsidR="008A3975" w:rsidRPr="004045BD" w:rsidRDefault="007F3990">
            <w:pPr>
              <w:rPr>
                <w:color w:val="591A1B" w:themeColor="accent2" w:themeShade="80"/>
                <w:sz w:val="24"/>
                <w:szCs w:val="24"/>
              </w:rPr>
            </w:pPr>
            <w:r>
              <w:rPr>
                <w:color w:val="591A1B" w:themeColor="accent2" w:themeShade="80"/>
                <w:sz w:val="24"/>
                <w:szCs w:val="24"/>
              </w:rPr>
              <w:t xml:space="preserve"> </w:t>
            </w:r>
          </w:p>
        </w:tc>
        <w:tc>
          <w:tcPr>
            <w:tcW w:w="4159" w:type="dxa"/>
          </w:tcPr>
          <w:p w14:paraId="5E3C193F" w14:textId="77777777" w:rsidR="00A10B66" w:rsidRDefault="00A10B66" w:rsidP="00A10B66">
            <w:pPr>
              <w:rPr>
                <w:rStyle w:val="QuoteChar"/>
                <w:i w:val="0"/>
                <w:iCs w:val="0"/>
                <w:color w:val="591A1B" w:themeColor="accent2" w:themeShade="80"/>
                <w:sz w:val="24"/>
                <w:szCs w:val="24"/>
              </w:rPr>
            </w:pPr>
          </w:p>
          <w:p w14:paraId="42A16E1D" w14:textId="77777777" w:rsidR="007F3990" w:rsidRDefault="007F3990" w:rsidP="00A10B66">
            <w:pPr>
              <w:rPr>
                <w:rStyle w:val="QuoteChar"/>
                <w:iCs w:val="0"/>
                <w:color w:val="591A1B" w:themeColor="accent2" w:themeShade="80"/>
                <w:sz w:val="32"/>
                <w:szCs w:val="32"/>
              </w:rPr>
            </w:pPr>
            <w:r>
              <w:rPr>
                <w:rStyle w:val="QuoteChar"/>
                <w:iCs w:val="0"/>
                <w:color w:val="591A1B" w:themeColor="accent2" w:themeShade="80"/>
                <w:sz w:val="32"/>
                <w:szCs w:val="32"/>
              </w:rPr>
              <w:t xml:space="preserve">   The Case Management Program is now offering</w:t>
            </w:r>
            <w:r w:rsidR="00793983">
              <w:rPr>
                <w:rStyle w:val="QuoteChar"/>
                <w:iCs w:val="0"/>
                <w:color w:val="591A1B" w:themeColor="accent2" w:themeShade="80"/>
                <w:sz w:val="32"/>
                <w:szCs w:val="32"/>
              </w:rPr>
              <w:t xml:space="preserve"> “Refer-A-Friend”… client i</w:t>
            </w:r>
            <w:r>
              <w:rPr>
                <w:rStyle w:val="QuoteChar"/>
                <w:iCs w:val="0"/>
                <w:color w:val="591A1B" w:themeColor="accent2" w:themeShade="80"/>
                <w:sz w:val="32"/>
                <w:szCs w:val="32"/>
              </w:rPr>
              <w:t>ncentive</w:t>
            </w:r>
            <w:r w:rsidR="00793983">
              <w:rPr>
                <w:rStyle w:val="QuoteChar"/>
                <w:iCs w:val="0"/>
                <w:color w:val="591A1B" w:themeColor="accent2" w:themeShade="80"/>
                <w:sz w:val="32"/>
                <w:szCs w:val="32"/>
              </w:rPr>
              <w:t>s for new and existing c</w:t>
            </w:r>
            <w:r>
              <w:rPr>
                <w:rStyle w:val="QuoteChar"/>
                <w:iCs w:val="0"/>
                <w:color w:val="591A1B" w:themeColor="accent2" w:themeShade="80"/>
                <w:sz w:val="32"/>
                <w:szCs w:val="32"/>
              </w:rPr>
              <w:t>lients….</w:t>
            </w:r>
          </w:p>
          <w:p w14:paraId="460A1B69" w14:textId="77777777" w:rsidR="007F3990" w:rsidRDefault="007F3990" w:rsidP="00A10B66">
            <w:pPr>
              <w:rPr>
                <w:rStyle w:val="QuoteChar"/>
                <w:iCs w:val="0"/>
                <w:color w:val="591A1B" w:themeColor="accent2" w:themeShade="80"/>
                <w:sz w:val="32"/>
                <w:szCs w:val="32"/>
              </w:rPr>
            </w:pPr>
            <w:r>
              <w:rPr>
                <w:rStyle w:val="QuoteChar"/>
                <w:iCs w:val="0"/>
                <w:color w:val="591A1B" w:themeColor="accent2" w:themeShade="80"/>
                <w:sz w:val="32"/>
                <w:szCs w:val="32"/>
              </w:rPr>
              <w:t>New clients will receive a Target gift card for enrolling in Case Management. You must complete all IPTF paperwork and either have a positive confirmatory test or have most recent labs sent to Case Manager.</w:t>
            </w:r>
          </w:p>
          <w:p w14:paraId="0CCA72EC" w14:textId="77777777" w:rsidR="007F3990" w:rsidRDefault="007F3990" w:rsidP="00793983">
            <w:pPr>
              <w:spacing w:after="0" w:line="240" w:lineRule="auto"/>
              <w:rPr>
                <w:rStyle w:val="QuoteChar"/>
                <w:iCs w:val="0"/>
                <w:color w:val="591A1B" w:themeColor="accent2" w:themeShade="80"/>
                <w:sz w:val="32"/>
                <w:szCs w:val="32"/>
              </w:rPr>
            </w:pPr>
            <w:r>
              <w:rPr>
                <w:rStyle w:val="QuoteChar"/>
                <w:iCs w:val="0"/>
                <w:color w:val="591A1B" w:themeColor="accent2" w:themeShade="80"/>
                <w:sz w:val="32"/>
                <w:szCs w:val="32"/>
              </w:rPr>
              <w:t xml:space="preserve">         </w:t>
            </w:r>
          </w:p>
          <w:p w14:paraId="4DA7912A" w14:textId="77777777" w:rsidR="007F3990" w:rsidRPr="00793983" w:rsidRDefault="00793983" w:rsidP="00A10B66">
            <w:pPr>
              <w:rPr>
                <w:i/>
                <w:color w:val="FF0000"/>
                <w:sz w:val="32"/>
                <w:szCs w:val="32"/>
              </w:rPr>
            </w:pPr>
            <w:r w:rsidRPr="00793983">
              <w:rPr>
                <w:rStyle w:val="QuoteChar"/>
                <w:color w:val="591A1B" w:themeColor="accent2" w:themeShade="80"/>
                <w:sz w:val="32"/>
                <w:szCs w:val="32"/>
              </w:rPr>
              <w:t xml:space="preserve">Existing </w:t>
            </w:r>
            <w:r>
              <w:rPr>
                <w:rStyle w:val="QuoteChar"/>
                <w:color w:val="591A1B" w:themeColor="accent2" w:themeShade="80"/>
                <w:sz w:val="32"/>
                <w:szCs w:val="32"/>
              </w:rPr>
              <w:t xml:space="preserve">clients will also receive a Target gift card for referring a client into Case Management. </w:t>
            </w:r>
          </w:p>
          <w:p w14:paraId="3078D266" w14:textId="77777777" w:rsidR="00A10B66" w:rsidRPr="000410BA" w:rsidRDefault="00A10B66" w:rsidP="000410BA">
            <w:pPr>
              <w:rPr>
                <w:color w:val="591A1B" w:themeColor="accent2" w:themeShade="80"/>
                <w:sz w:val="24"/>
                <w:szCs w:val="24"/>
              </w:rPr>
            </w:pPr>
          </w:p>
          <w:p w14:paraId="262C5A3D" w14:textId="77777777" w:rsidR="00A10B66" w:rsidRPr="000410BA" w:rsidRDefault="00A10B66" w:rsidP="000410BA">
            <w:pPr>
              <w:pStyle w:val="ListParagraph"/>
              <w:rPr>
                <w:color w:val="591A1B" w:themeColor="accent2" w:themeShade="80"/>
                <w:sz w:val="24"/>
                <w:szCs w:val="24"/>
              </w:rPr>
            </w:pPr>
            <w:r w:rsidRPr="000410BA">
              <w:rPr>
                <w:color w:val="591A1B" w:themeColor="accent2" w:themeShade="8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0E8E9F12" w14:textId="77777777" w:rsidR="008A3975" w:rsidRDefault="008A3975"/>
        </w:tc>
        <w:tc>
          <w:tcPr>
            <w:tcW w:w="360" w:type="dxa"/>
          </w:tcPr>
          <w:p w14:paraId="10791EE7" w14:textId="77777777" w:rsidR="008A3975" w:rsidRDefault="00A10B66">
            <w:r>
              <w:t xml:space="preserve"> </w:t>
            </w:r>
          </w:p>
        </w:tc>
        <w:tc>
          <w:tcPr>
            <w:tcW w:w="3851" w:type="dxa"/>
          </w:tcPr>
          <w:sdt>
            <w:sdtPr>
              <w:id w:val="1665123103"/>
              <w:picture/>
            </w:sdtPr>
            <w:sdtEndPr/>
            <w:sdtContent>
              <w:p w14:paraId="11A34196" w14:textId="77777777" w:rsidR="008A3975" w:rsidRDefault="004045BD">
                <w:r>
                  <w:rPr>
                    <w:noProof/>
                    <w:lang w:eastAsia="en-US"/>
                  </w:rPr>
                  <w:drawing>
                    <wp:inline distT="0" distB="0" distL="0" distR="0" wp14:anchorId="6F240EA7" wp14:editId="555306C4">
                      <wp:extent cx="2441448" cy="1639512"/>
                      <wp:effectExtent l="0" t="0" r="0" b="0"/>
                      <wp:docPr id="12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41448" cy="1639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F17DDC6" w14:textId="77777777" w:rsidR="008A3975" w:rsidRDefault="00A57633">
            <w:pPr>
              <w:pStyle w:val="Caption"/>
            </w:pPr>
            <w:r>
              <w:t xml:space="preserve">HIV Awareness artwork </w:t>
            </w:r>
            <w:r w:rsidR="008138AE">
              <w:t>and above photo(google 2014)</w:t>
            </w:r>
          </w:p>
          <w:p w14:paraId="11A3DD4F" w14:textId="77777777" w:rsidR="008A3975" w:rsidRPr="00A10B66" w:rsidRDefault="00A10B66" w:rsidP="00A10B66">
            <w:pPr>
              <w:rPr>
                <w:rFonts w:ascii="Andalus" w:hAnsi="Andalus" w:cs="Andalus"/>
                <w:b/>
                <w:i/>
                <w:color w:val="FF0000"/>
                <w:sz w:val="28"/>
                <w:szCs w:val="28"/>
              </w:rPr>
            </w:pPr>
            <w:r w:rsidRPr="00A10B66">
              <w:rPr>
                <w:rFonts w:ascii="Andalus" w:hAnsi="Andalus" w:cs="Andalus"/>
                <w:i/>
                <w:sz w:val="28"/>
                <w:szCs w:val="28"/>
              </w:rPr>
              <w:t xml:space="preserve">       </w:t>
            </w:r>
          </w:p>
          <w:p w14:paraId="566DD426" w14:textId="77777777" w:rsidR="00B56784" w:rsidRPr="00793983" w:rsidRDefault="00793983" w:rsidP="00A10B66">
            <w:pPr>
              <w:rPr>
                <w:rFonts w:ascii="Andalus" w:hAnsi="Andalus" w:cs="Andalus"/>
                <w:b/>
                <w:color w:val="FF0000"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color w:val="FF0000"/>
                <w:sz w:val="28"/>
                <w:szCs w:val="28"/>
              </w:rPr>
              <w:t xml:space="preserve">       </w:t>
            </w:r>
            <w:r w:rsidRPr="00793983">
              <w:rPr>
                <w:rFonts w:ascii="Andalus" w:hAnsi="Andalus" w:cs="Andalus"/>
                <w:b/>
                <w:color w:val="FF0000"/>
                <w:sz w:val="28"/>
                <w:szCs w:val="28"/>
              </w:rPr>
              <w:t xml:space="preserve">  </w:t>
            </w:r>
            <w:r w:rsidR="00B56784" w:rsidRPr="00793983">
              <w:rPr>
                <w:rFonts w:ascii="Andalus" w:hAnsi="Andalus" w:cs="Andalus"/>
                <w:b/>
                <w:color w:val="FF0000"/>
                <w:sz w:val="28"/>
                <w:szCs w:val="28"/>
              </w:rPr>
              <w:t>Other Programs Offered:</w:t>
            </w:r>
          </w:p>
          <w:p w14:paraId="4E709556" w14:textId="77777777" w:rsidR="00B56784" w:rsidRDefault="00B56784" w:rsidP="00B56784">
            <w:pPr>
              <w:pStyle w:val="ListParagraph"/>
              <w:numPr>
                <w:ilvl w:val="0"/>
                <w:numId w:val="10"/>
              </w:numPr>
              <w:rPr>
                <w:rFonts w:ascii="Andalus" w:hAnsi="Andalus" w:cs="Andalus"/>
                <w:b/>
                <w:color w:val="FF0000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color w:val="FF0000"/>
                <w:sz w:val="24"/>
                <w:szCs w:val="24"/>
              </w:rPr>
              <w:t>Confidential FREE HIV testing, Counseling &amp; referrals</w:t>
            </w:r>
          </w:p>
          <w:p w14:paraId="501DF4C9" w14:textId="77777777" w:rsidR="00B56784" w:rsidRDefault="00691957" w:rsidP="00691957">
            <w:pPr>
              <w:pStyle w:val="ListParagraph"/>
              <w:numPr>
                <w:ilvl w:val="0"/>
                <w:numId w:val="10"/>
              </w:numPr>
              <w:rPr>
                <w:rFonts w:ascii="Andalus" w:hAnsi="Andalus" w:cs="Andalus"/>
                <w:b/>
                <w:color w:val="FF0000"/>
                <w:sz w:val="24"/>
                <w:szCs w:val="24"/>
              </w:rPr>
            </w:pPr>
            <w:r w:rsidRPr="00691957">
              <w:rPr>
                <w:rFonts w:ascii="Andalus" w:hAnsi="Andalus" w:cs="Andalus"/>
                <w:b/>
                <w:color w:val="FF0000"/>
                <w:sz w:val="24"/>
                <w:szCs w:val="24"/>
              </w:rPr>
              <w:t>•</w:t>
            </w:r>
            <w:proofErr w:type="spellStart"/>
            <w:r w:rsidRPr="00691957">
              <w:rPr>
                <w:rFonts w:ascii="Andalus" w:hAnsi="Andalus" w:cs="Andalus"/>
                <w:b/>
                <w:color w:val="FF0000"/>
                <w:sz w:val="24"/>
                <w:szCs w:val="24"/>
              </w:rPr>
              <w:t>Wabinigay</w:t>
            </w:r>
            <w:proofErr w:type="spellEnd"/>
            <w:r w:rsidRPr="00691957">
              <w:rPr>
                <w:rFonts w:ascii="Andalus" w:hAnsi="Andalus" w:cs="Andalus"/>
                <w:b/>
                <w:color w:val="FF0000"/>
                <w:sz w:val="24"/>
                <w:szCs w:val="24"/>
              </w:rPr>
              <w:t xml:space="preserve"> Prevention and Cessation Program for native </w:t>
            </w:r>
            <w:proofErr w:type="spellStart"/>
            <w:r w:rsidRPr="00691957">
              <w:rPr>
                <w:rFonts w:ascii="Andalus" w:hAnsi="Andalus" w:cs="Andalus"/>
                <w:b/>
                <w:color w:val="FF0000"/>
                <w:sz w:val="24"/>
                <w:szCs w:val="24"/>
              </w:rPr>
              <w:t>american</w:t>
            </w:r>
            <w:proofErr w:type="spellEnd"/>
            <w:r w:rsidRPr="00691957">
              <w:rPr>
                <w:rFonts w:ascii="Andalus" w:hAnsi="Andalus" w:cs="Andalus"/>
                <w:b/>
                <w:color w:val="FF0000"/>
                <w:sz w:val="24"/>
                <w:szCs w:val="24"/>
              </w:rPr>
              <w:t xml:space="preserve"> Youth and young adults</w:t>
            </w:r>
          </w:p>
          <w:p w14:paraId="2844961E" w14:textId="77777777" w:rsidR="00691957" w:rsidRPr="00B56784" w:rsidRDefault="00691957" w:rsidP="00691957">
            <w:pPr>
              <w:pStyle w:val="ListParagraph"/>
              <w:numPr>
                <w:ilvl w:val="0"/>
                <w:numId w:val="10"/>
              </w:numPr>
              <w:rPr>
                <w:rFonts w:ascii="Andalus" w:hAnsi="Andalus" w:cs="Andalus"/>
                <w:b/>
                <w:color w:val="FF0000"/>
                <w:sz w:val="24"/>
                <w:szCs w:val="24"/>
              </w:rPr>
            </w:pPr>
            <w:proofErr w:type="spellStart"/>
            <w:r w:rsidRPr="00691957">
              <w:rPr>
                <w:rFonts w:ascii="Andalus" w:hAnsi="Andalus" w:cs="Andalus"/>
                <w:b/>
                <w:color w:val="FF0000"/>
                <w:sz w:val="24"/>
                <w:szCs w:val="24"/>
              </w:rPr>
              <w:t>Gikkinoo-amaage-gidiwin</w:t>
            </w:r>
            <w:proofErr w:type="spellEnd"/>
            <w:r w:rsidRPr="00691957">
              <w:rPr>
                <w:rFonts w:ascii="Andalus" w:hAnsi="Andalus" w:cs="Andalus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91957">
              <w:rPr>
                <w:rFonts w:ascii="Andalus" w:hAnsi="Andalus" w:cs="Andalus"/>
                <w:b/>
                <w:color w:val="FF0000"/>
                <w:sz w:val="24"/>
                <w:szCs w:val="24"/>
              </w:rPr>
              <w:t>Gitigaan</w:t>
            </w:r>
            <w:proofErr w:type="spellEnd"/>
            <w:r w:rsidRPr="00691957">
              <w:rPr>
                <w:rFonts w:ascii="Andalus" w:hAnsi="Andalus" w:cs="Andalus"/>
                <w:b/>
                <w:color w:val="FF0000"/>
                <w:sz w:val="24"/>
                <w:szCs w:val="24"/>
              </w:rPr>
              <w:t>, " The Teaching Garden"</w:t>
            </w:r>
            <w:r w:rsidRPr="00691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​</w:t>
            </w:r>
          </w:p>
        </w:tc>
      </w:tr>
      <w:tr w:rsidR="00A10B66" w14:paraId="57EFA94F" w14:textId="77777777" w:rsidTr="00A10B66">
        <w:trPr>
          <w:trHeight w:hRule="exact" w:val="10800"/>
          <w:jc w:val="center"/>
        </w:trPr>
        <w:tc>
          <w:tcPr>
            <w:tcW w:w="4020" w:type="dxa"/>
          </w:tcPr>
          <w:p w14:paraId="2AE4E773" w14:textId="77777777" w:rsidR="00A10B66" w:rsidRDefault="00A10B66" w:rsidP="008138AE">
            <w:pPr>
              <w:spacing w:after="0"/>
              <w:rPr>
                <w:noProof/>
                <w:lang w:eastAsia="en-US"/>
              </w:rPr>
            </w:pPr>
          </w:p>
        </w:tc>
        <w:tc>
          <w:tcPr>
            <w:tcW w:w="713" w:type="dxa"/>
          </w:tcPr>
          <w:p w14:paraId="2A8FF9A6" w14:textId="77777777" w:rsidR="00A10B66" w:rsidRDefault="00A10B66" w:rsidP="008138AE">
            <w:pPr>
              <w:spacing w:after="0"/>
            </w:pPr>
            <w:bookmarkStart w:id="0" w:name="_GoBack"/>
            <w:bookmarkEnd w:id="0"/>
          </w:p>
        </w:tc>
        <w:tc>
          <w:tcPr>
            <w:tcW w:w="397" w:type="dxa"/>
          </w:tcPr>
          <w:p w14:paraId="70692B18" w14:textId="77777777" w:rsidR="00A10B66" w:rsidRDefault="00A10B66"/>
        </w:tc>
        <w:tc>
          <w:tcPr>
            <w:tcW w:w="4159" w:type="dxa"/>
          </w:tcPr>
          <w:p w14:paraId="0DA7371A" w14:textId="77777777" w:rsidR="00A10B66" w:rsidRDefault="00A10B66">
            <w:pPr>
              <w:pStyle w:val="Heading2"/>
              <w:spacing w:before="200"/>
              <w:rPr>
                <w:rStyle w:val="Heading2Char"/>
                <w:b/>
                <w:bCs/>
              </w:rPr>
            </w:pPr>
          </w:p>
        </w:tc>
        <w:tc>
          <w:tcPr>
            <w:tcW w:w="720" w:type="dxa"/>
          </w:tcPr>
          <w:p w14:paraId="62F98BD4" w14:textId="77777777" w:rsidR="00A10B66" w:rsidRDefault="00A10B66"/>
        </w:tc>
        <w:tc>
          <w:tcPr>
            <w:tcW w:w="360" w:type="dxa"/>
          </w:tcPr>
          <w:p w14:paraId="1A762460" w14:textId="77777777" w:rsidR="00A10B66" w:rsidRDefault="00A10B66"/>
        </w:tc>
        <w:tc>
          <w:tcPr>
            <w:tcW w:w="3851" w:type="dxa"/>
          </w:tcPr>
          <w:p w14:paraId="415E40FB" w14:textId="77777777" w:rsidR="00A10B66" w:rsidRDefault="00A10B66">
            <w:pPr>
              <w:rPr>
                <w:noProof/>
                <w:lang w:eastAsia="en-US"/>
              </w:rPr>
            </w:pPr>
          </w:p>
        </w:tc>
      </w:tr>
    </w:tbl>
    <w:p w14:paraId="203F2A85" w14:textId="77777777" w:rsidR="008A3975" w:rsidRDefault="008A3975">
      <w:pPr>
        <w:pStyle w:val="NoSpacing"/>
      </w:pPr>
    </w:p>
    <w:sectPr w:rsidR="008A39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HG明朝B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10A83E74"/>
    <w:multiLevelType w:val="hybridMultilevel"/>
    <w:tmpl w:val="338C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92B99"/>
    <w:multiLevelType w:val="hybridMultilevel"/>
    <w:tmpl w:val="B106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F6F34"/>
    <w:multiLevelType w:val="hybridMultilevel"/>
    <w:tmpl w:val="B6FE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700DF"/>
    <w:multiLevelType w:val="hybridMultilevel"/>
    <w:tmpl w:val="4022D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B8630D"/>
    <w:multiLevelType w:val="hybridMultilevel"/>
    <w:tmpl w:val="843A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B0"/>
    <w:rsid w:val="000410BA"/>
    <w:rsid w:val="00211CB1"/>
    <w:rsid w:val="002858B0"/>
    <w:rsid w:val="003429AB"/>
    <w:rsid w:val="004045BD"/>
    <w:rsid w:val="004439A0"/>
    <w:rsid w:val="0052073F"/>
    <w:rsid w:val="00634229"/>
    <w:rsid w:val="00691957"/>
    <w:rsid w:val="0075007B"/>
    <w:rsid w:val="00793983"/>
    <w:rsid w:val="007E0C65"/>
    <w:rsid w:val="007F3990"/>
    <w:rsid w:val="008138AE"/>
    <w:rsid w:val="008A3975"/>
    <w:rsid w:val="00A10B66"/>
    <w:rsid w:val="00A57633"/>
    <w:rsid w:val="00A65626"/>
    <w:rsid w:val="00A83FF1"/>
    <w:rsid w:val="00B56784"/>
    <w:rsid w:val="00B8645E"/>
    <w:rsid w:val="00D45C60"/>
    <w:rsid w:val="00D65B51"/>
    <w:rsid w:val="00E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A3D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D65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D65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ice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HG明朝B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1F497D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4A"/>
    <w:rsid w:val="006E43C5"/>
    <w:rsid w:val="0078724A"/>
    <w:rsid w:val="00CF6138"/>
    <w:rsid w:val="00D27523"/>
    <w:rsid w:val="00F6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C6EFE7FE2C4D0AB00451D298868B12">
    <w:name w:val="47C6EFE7FE2C4D0AB00451D298868B12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1F497D" w:themeColor="text2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color w:val="265898" w:themeColor="text2" w:themeTint="E6"/>
      <w:sz w:val="20"/>
    </w:rPr>
  </w:style>
  <w:style w:type="paragraph" w:customStyle="1" w:styleId="1FCD69D8A23D4A19848746B4814E0CD5">
    <w:name w:val="1FCD69D8A23D4A19848746B4814E0CD5"/>
  </w:style>
  <w:style w:type="paragraph" w:customStyle="1" w:styleId="5FF709195ADB413DA36CDB639DE19FDD">
    <w:name w:val="5FF709195ADB413DA36CDB639DE19FDD"/>
  </w:style>
  <w:style w:type="paragraph" w:customStyle="1" w:styleId="55188891A9E24DA79A7370650D1499F5">
    <w:name w:val="55188891A9E24DA79A7370650D1499F5"/>
  </w:style>
  <w:style w:type="paragraph" w:customStyle="1" w:styleId="BD25495C6AE64136982CD6F17187D71E">
    <w:name w:val="BD25495C6AE64136982CD6F17187D71E"/>
  </w:style>
  <w:style w:type="paragraph" w:customStyle="1" w:styleId="FFAD4B3EB8804CE284CF4B95E781F4BE">
    <w:name w:val="FFAD4B3EB8804CE284CF4B95E781F4BE"/>
  </w:style>
  <w:style w:type="paragraph" w:customStyle="1" w:styleId="913726A0B4154B96AEF442B653687B2E">
    <w:name w:val="913726A0B4154B96AEF442B653687B2E"/>
  </w:style>
  <w:style w:type="paragraph" w:customStyle="1" w:styleId="6CE156AC2FD6496D9385D2FF77986F95">
    <w:name w:val="6CE156AC2FD6496D9385D2FF77986F95"/>
  </w:style>
  <w:style w:type="paragraph" w:customStyle="1" w:styleId="798597088A7141909824C0C9B1697C23">
    <w:name w:val="798597088A7141909824C0C9B1697C23"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65F91" w:themeColor="accent1" w:themeShade="BF"/>
      <w:sz w:val="42"/>
    </w:rPr>
  </w:style>
  <w:style w:type="paragraph" w:customStyle="1" w:styleId="6602E4306C0948B19E1F3890FA6758DF">
    <w:name w:val="6602E4306C0948B19E1F3890FA6758DF"/>
  </w:style>
  <w:style w:type="paragraph" w:customStyle="1" w:styleId="84C11E197CD54E54AB29DC05002D0DBF">
    <w:name w:val="84C11E197CD54E54AB29DC05002D0DBF"/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365F91" w:themeColor="accent1" w:themeShade="BF"/>
        <w:bottom w:val="single" w:sz="4" w:space="14" w:color="365F91" w:themeColor="accent1" w:themeShade="BF"/>
      </w:pBdr>
      <w:spacing w:before="480" w:after="480" w:line="336" w:lineRule="auto"/>
    </w:pPr>
    <w:rPr>
      <w:i/>
      <w:iCs/>
      <w:color w:val="365F91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365F91" w:themeColor="accent1" w:themeShade="BF"/>
      <w:sz w:val="30"/>
    </w:rPr>
  </w:style>
  <w:style w:type="paragraph" w:customStyle="1" w:styleId="9E96DC39FA884325B3E456A5296BF0A8">
    <w:name w:val="9E96DC39FA884325B3E456A5296BF0A8"/>
  </w:style>
  <w:style w:type="paragraph" w:customStyle="1" w:styleId="4872939998C541D38115B05FDD4E542E">
    <w:name w:val="4872939998C541D38115B05FDD4E542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C6EFE7FE2C4D0AB00451D298868B12">
    <w:name w:val="47C6EFE7FE2C4D0AB00451D298868B12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1F497D" w:themeColor="text2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color w:val="265898" w:themeColor="text2" w:themeTint="E6"/>
      <w:sz w:val="20"/>
    </w:rPr>
  </w:style>
  <w:style w:type="paragraph" w:customStyle="1" w:styleId="1FCD69D8A23D4A19848746B4814E0CD5">
    <w:name w:val="1FCD69D8A23D4A19848746B4814E0CD5"/>
  </w:style>
  <w:style w:type="paragraph" w:customStyle="1" w:styleId="5FF709195ADB413DA36CDB639DE19FDD">
    <w:name w:val="5FF709195ADB413DA36CDB639DE19FDD"/>
  </w:style>
  <w:style w:type="paragraph" w:customStyle="1" w:styleId="55188891A9E24DA79A7370650D1499F5">
    <w:name w:val="55188891A9E24DA79A7370650D1499F5"/>
  </w:style>
  <w:style w:type="paragraph" w:customStyle="1" w:styleId="BD25495C6AE64136982CD6F17187D71E">
    <w:name w:val="BD25495C6AE64136982CD6F17187D71E"/>
  </w:style>
  <w:style w:type="paragraph" w:customStyle="1" w:styleId="FFAD4B3EB8804CE284CF4B95E781F4BE">
    <w:name w:val="FFAD4B3EB8804CE284CF4B95E781F4BE"/>
  </w:style>
  <w:style w:type="paragraph" w:customStyle="1" w:styleId="913726A0B4154B96AEF442B653687B2E">
    <w:name w:val="913726A0B4154B96AEF442B653687B2E"/>
  </w:style>
  <w:style w:type="paragraph" w:customStyle="1" w:styleId="6CE156AC2FD6496D9385D2FF77986F95">
    <w:name w:val="6CE156AC2FD6496D9385D2FF77986F95"/>
  </w:style>
  <w:style w:type="paragraph" w:customStyle="1" w:styleId="798597088A7141909824C0C9B1697C23">
    <w:name w:val="798597088A7141909824C0C9B1697C23"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65F91" w:themeColor="accent1" w:themeShade="BF"/>
      <w:sz w:val="42"/>
    </w:rPr>
  </w:style>
  <w:style w:type="paragraph" w:customStyle="1" w:styleId="6602E4306C0948B19E1F3890FA6758DF">
    <w:name w:val="6602E4306C0948B19E1F3890FA6758DF"/>
  </w:style>
  <w:style w:type="paragraph" w:customStyle="1" w:styleId="84C11E197CD54E54AB29DC05002D0DBF">
    <w:name w:val="84C11E197CD54E54AB29DC05002D0DBF"/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365F91" w:themeColor="accent1" w:themeShade="BF"/>
        <w:bottom w:val="single" w:sz="4" w:space="14" w:color="365F91" w:themeColor="accent1" w:themeShade="BF"/>
      </w:pBdr>
      <w:spacing w:before="480" w:after="480" w:line="336" w:lineRule="auto"/>
    </w:pPr>
    <w:rPr>
      <w:i/>
      <w:iCs/>
      <w:color w:val="365F91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365F91" w:themeColor="accent1" w:themeShade="BF"/>
      <w:sz w:val="30"/>
    </w:rPr>
  </w:style>
  <w:style w:type="paragraph" w:customStyle="1" w:styleId="9E96DC39FA884325B3E456A5296BF0A8">
    <w:name w:val="9E96DC39FA884325B3E456A5296BF0A8"/>
  </w:style>
  <w:style w:type="paragraph" w:customStyle="1" w:styleId="4872939998C541D38115B05FDD4E542E">
    <w:name w:val="4872939998C541D38115B05FDD4E5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\Users\Candice\AppData\Roaming\Microsoft\Templates\Brochure.dotx</Template>
  <TotalTime>2</TotalTime>
  <Pages>3</Pages>
  <Words>430</Words>
  <Characters>2453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Indigenous Peoples task Force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Candice</dc:creator>
  <cp:keywords/>
  <cp:lastModifiedBy>Suzanne Nash</cp:lastModifiedBy>
  <cp:revision>3</cp:revision>
  <cp:lastPrinted>2014-10-17T14:36:00Z</cp:lastPrinted>
  <dcterms:created xsi:type="dcterms:W3CDTF">2014-12-02T18:53:00Z</dcterms:created>
  <dcterms:modified xsi:type="dcterms:W3CDTF">2014-12-02T18:54:00Z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